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关于《青海省契税适用税率及优惠政策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实施方案》的起草说明</w:t>
      </w: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日，第十三届全国人民代表大会常务委员会第二十一次会议审议通过了《中华人民共和国契税法》（以下简称《契税法》），自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日起施行。为贯彻落实好《契税法》授权地方政府事项，确保《契税法》在我省顺利施行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省财政厅、国家税务总局青海省税务局在广泛调研和征求意见的基础上，研究起草了《青海省契税适用税率及优惠政策实施方案（征求意见稿）》（以下简称《方案（征求意见稿）》）。现将有关情况说明如下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现行契税政策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>1997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月，国务院发布《中华人民共和国契税暂行条例》（以下简称《暂行条例》），规定在中华人民共和国境内转移土地、房屋权属，承受的单位和个人应当缴纳契税。《暂行条例》规定契税幅度税率为</w:t>
      </w:r>
      <w:r>
        <w:rPr>
          <w:rFonts w:ascii="仿宋_GB2312" w:hAnsi="仿宋_GB2312" w:eastAsia="仿宋_GB2312" w:cs="仿宋_GB2312"/>
          <w:sz w:val="32"/>
          <w:szCs w:val="32"/>
        </w:rPr>
        <w:t>3%-5%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，并授权各省根据实际情况在规定的幅度内确定适用税率。根据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授权，</w:t>
      </w:r>
      <w:r>
        <w:rPr>
          <w:rFonts w:ascii="仿宋_GB2312" w:hAnsi="仿宋_GB2312" w:eastAsia="仿宋_GB2312" w:cs="仿宋_GB2312"/>
          <w:sz w:val="32"/>
          <w:szCs w:val="32"/>
        </w:rPr>
        <w:t>1999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月，省人民政府颁布了《青海省契税征收管理办法》，规定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我省契税不分税目和地区，统一适用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的税率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月，财政部、税务总局、住房和城乡建设部发布《关于调整房地产交易环节契税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营业税优惠政策的通知》（财税〔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号），对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房地产交易环节契税实施1%、1.5%、2%的优惠税率。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目前，我省绝大部分住房权属交易均按照财税〔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〕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规定的优惠税率执行，但土地权属交易、购买的家庭第三套及以上住房、非住宅类房屋等适用税率仍为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。</w:t>
      </w:r>
      <w:bookmarkStart w:id="0" w:name="_GoBack"/>
      <w:bookmarkEnd w:id="0"/>
    </w:p>
    <w:p>
      <w:pPr>
        <w:numPr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二、起草依据</w:t>
      </w:r>
    </w:p>
    <w:p>
      <w:pPr>
        <w:pStyle w:val="2"/>
        <w:ind w:left="0" w:leftChars="0" w:firstLine="643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《契税法》第三条规定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契税税率为百分之三至百分之五。契税的具体适用税率，由省、自治区、直辖市人民政府在前款规定的税率幅度内提出，报同级人民代表大会常务委员会决定，并报全国人民代表大会常务委员会和国务院备案。省、自治区、直辖市可以依照前款规定的程序对不同主体、不同地区、不同类型的住房的权属转移确定差别税率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《契税法》第七条规定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省、自治区、直辖市可以决定对下列情形免征或者减征契税：(一)因土地、房屋被县级以上人民政府征收、征用，重新承受土地、房屋权属；(二)因不可抗力灭失住房，重新承受住房权属。免征或者减征契税的具体办法，由省、自治区、直辖市人民政府提出，报同级人民代表大会常务委员会决定，并报全国人民代表大会常务委员会和国务院备案。 </w:t>
      </w:r>
    </w:p>
    <w:p>
      <w:pPr>
        <w:numPr>
          <w:numId w:val="0"/>
        </w:numPr>
        <w:ind w:leftChars="200" w:firstLine="320" w:firstLineChars="1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三、主要内容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《方案（征求意见稿）》紧扣《契税法》授权事项和总体思路，规定以下事项：</w:t>
      </w:r>
    </w:p>
    <w:p>
      <w:pPr>
        <w:pStyle w:val="5"/>
        <w:widowControl/>
        <w:numPr>
          <w:ilvl w:val="0"/>
          <w:numId w:val="0"/>
        </w:numPr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一是明确我省契税适用税率。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规定我省契税税率为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百分之三，保持我省现行适用税率不变。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该税率也是法定税率范围（3%-5%）中的最低税率。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需要说明的是，我省现行契税不分地区和税目，税率均为3%，</w:t>
      </w:r>
      <w:r>
        <w:rPr>
          <w:rFonts w:hint="eastAsia" w:ascii="仿宋_GB2312" w:hAnsi="仿宋_GB2312" w:eastAsia="仿宋_GB2312" w:cs="仿宋_GB2312"/>
          <w:sz w:val="32"/>
          <w:szCs w:val="32"/>
        </w:rPr>
        <w:t>但在实际执行中，房屋权属交易有</w:t>
      </w:r>
      <w:r>
        <w:rPr>
          <w:rFonts w:ascii="仿宋_GB2312" w:hAnsi="仿宋_GB2312" w:eastAsia="仿宋_GB2312" w:cs="仿宋_GB2312"/>
          <w:sz w:val="32"/>
          <w:szCs w:val="32"/>
        </w:rPr>
        <w:t>1%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1.5%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ascii="仿宋_GB2312" w:hAnsi="仿宋_GB2312" w:eastAsia="仿宋_GB2312" w:cs="仿宋_GB2312"/>
          <w:sz w:val="32"/>
          <w:szCs w:val="32"/>
        </w:rPr>
        <w:t>2%</w:t>
      </w:r>
      <w:r>
        <w:rPr>
          <w:rFonts w:hint="eastAsia" w:ascii="仿宋_GB2312" w:hAnsi="仿宋_GB2312" w:eastAsia="仿宋_GB2312" w:cs="仿宋_GB2312"/>
          <w:sz w:val="32"/>
          <w:szCs w:val="32"/>
        </w:rPr>
        <w:t>的优惠税率，家庭第三套房及以上、非住宅房屋、土地权属交易等适用税率为</w:t>
      </w:r>
      <w:r>
        <w:rPr>
          <w:rFonts w:ascii="仿宋_GB2312" w:hAnsi="仿宋_GB2312" w:eastAsia="仿宋_GB2312" w:cs="仿宋_GB2312"/>
          <w:sz w:val="32"/>
          <w:szCs w:val="32"/>
        </w:rPr>
        <w:t>3%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据了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，9月1日《契税法》施行后，财税〔2016〕23号文件规定的1%、1.5%、2%三档优惠税率仍将延续执行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，国家有关部门正在拟定政策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二是明确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免征或者减征契税事项。明确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了土地、房屋征收、征用重新承受权属的契税优惠政策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，规定</w:t>
      </w:r>
      <w:r>
        <w:rPr>
          <w:rFonts w:hint="eastAsia" w:asci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土地、房屋被我省县级以上人民政府征收、征用，选择货币补偿且在我省重新购置土地、房屋的，成交价格不超过货币补偿部分免征契税，超出部分按规定征收契税；在省内选择房屋产权调换、土地使用权置换且不缴纳差价的免征契税，缴纳差价的，对差价部分按规定征收契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明确了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不可抗力灭失住房优惠政策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</w:rPr>
        <w:t>对不可抗力灭失住房，重新承受住房权属的，免征契税，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同时考虑到不可抗力灭失住房的认定工作具有较强的专业性，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由县级以上人民政府应急管理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会同住房和城乡建设部门共同认定。</w:t>
      </w:r>
    </w:p>
    <w:p>
      <w:pPr>
        <w:pStyle w:val="5"/>
        <w:widowControl/>
        <w:numPr>
          <w:ilvl w:val="0"/>
          <w:numId w:val="0"/>
        </w:numPr>
        <w:spacing w:beforeAutospacing="0" w:afterAutospacing="0"/>
        <w:ind w:firstLine="643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  <w:t>三是明确执行时间和有关事项。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我省《实施方案》从2021年9月1日起施行，与《契税法》施行时间保持一致。同时，考虑到《暂行条例》将于2021年9月1日起废止，依据其制定实施的《</w:t>
      </w:r>
      <w:r>
        <w:rPr>
          <w:rFonts w:hint="eastAsia" w:ascii="仿宋_GB2312" w:hAnsi="仿宋_GB2312" w:eastAsia="仿宋_GB2312" w:cs="仿宋_GB2312"/>
          <w:sz w:val="32"/>
          <w:szCs w:val="32"/>
        </w:rPr>
        <w:t>青海省契税征收管理办法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》（青海省人民政府第9号令）》也一并废止。</w:t>
      </w:r>
    </w:p>
    <w:p>
      <w:pPr>
        <w:pStyle w:val="5"/>
        <w:widowControl/>
        <w:numPr>
          <w:ilvl w:val="0"/>
          <w:numId w:val="0"/>
        </w:numPr>
        <w:spacing w:beforeAutospacing="0" w:afterAutospacing="0"/>
        <w:jc w:val="both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ind w:firstLine="321" w:firstLineChars="1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211" w:firstLineChars="100"/>
        <w:rPr>
          <w:rFonts w:hint="default"/>
          <w:b/>
          <w:bCs/>
          <w:lang w:val="en-US" w:eastAsia="zh-CN"/>
        </w:rPr>
      </w:pPr>
    </w:p>
    <w:p>
      <w:pPr>
        <w:pStyle w:val="2"/>
        <w:numPr>
          <w:ilvl w:val="0"/>
          <w:numId w:val="0"/>
        </w:numPr>
        <w:ind w:left="525" w:leftChars="0"/>
      </w:pP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593AA1"/>
    <w:multiLevelType w:val="singleLevel"/>
    <w:tmpl w:val="E1593A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86E14"/>
    <w:rsid w:val="050B6CAA"/>
    <w:rsid w:val="0605480F"/>
    <w:rsid w:val="07A5311F"/>
    <w:rsid w:val="1BE86E14"/>
    <w:rsid w:val="1E911787"/>
    <w:rsid w:val="1FCE7F49"/>
    <w:rsid w:val="25377DBB"/>
    <w:rsid w:val="29943323"/>
    <w:rsid w:val="2A540714"/>
    <w:rsid w:val="31AF689A"/>
    <w:rsid w:val="32F31C34"/>
    <w:rsid w:val="3A234D5B"/>
    <w:rsid w:val="4D5D7B09"/>
    <w:rsid w:val="51CE726B"/>
    <w:rsid w:val="53582CED"/>
    <w:rsid w:val="5A2A495A"/>
    <w:rsid w:val="657E2879"/>
    <w:rsid w:val="684E1398"/>
    <w:rsid w:val="69752F95"/>
    <w:rsid w:val="7132406B"/>
    <w:rsid w:val="7A782C17"/>
    <w:rsid w:val="F74E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2021-04-06T17:06:00Z</dcterms:created>
  <dc:creator>ganguangxing</dc:creator>
  <cp:lastModifiedBy>ganguangxing</cp:lastModifiedBy>
  <cp:lastPrinted>2021-04-08T09:50:34Z</cp:lastPrinted>
  <dcterms:modified xsi:type="dcterms:W3CDTF">2021-04-08T09:53:06Z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